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9B" w:rsidRDefault="00F47A9B" w:rsidP="00F47A9B">
      <w:pPr>
        <w:rPr>
          <w:b/>
          <w:bCs/>
          <w:color w:val="002060"/>
          <w:u w:val="single"/>
          <w:lang w:eastAsia="pl-PL"/>
        </w:rPr>
      </w:pPr>
      <w:r>
        <w:rPr>
          <w:noProof/>
          <w:color w:val="1F497D"/>
          <w:lang w:eastAsia="pl-PL"/>
        </w:rPr>
        <w:drawing>
          <wp:inline distT="0" distB="0" distL="0" distR="0">
            <wp:extent cx="1956435" cy="829310"/>
            <wp:effectExtent l="0" t="0" r="5715" b="8890"/>
            <wp:docPr id="1" name="Obraz 1" descr="cid:image001.png@01D76C2F.A974D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6C2F.A974DD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F497D"/>
          <w:u w:val="single"/>
          <w:lang w:eastAsia="pl-PL"/>
        </w:rPr>
        <w:t>Będziesz starał się o świadczenie 300+, musisz wiedzieć, że:</w:t>
      </w:r>
    </w:p>
    <w:p w:rsidR="00F47A9B" w:rsidRDefault="00F47A9B" w:rsidP="00F47A9B">
      <w:pPr>
        <w:rPr>
          <w:b/>
          <w:bCs/>
          <w:color w:val="1F497D"/>
          <w:lang w:eastAsia="pl-PL"/>
        </w:rPr>
      </w:pPr>
    </w:p>
    <w:p w:rsidR="00F47A9B" w:rsidRDefault="00F47A9B" w:rsidP="00F47A9B">
      <w:pPr>
        <w:rPr>
          <w:color w:val="1F497D"/>
          <w:lang w:eastAsia="pl-PL"/>
        </w:rPr>
      </w:pPr>
    </w:p>
    <w:p w:rsidR="00F47A9B" w:rsidRDefault="00F47A9B" w:rsidP="00F47A9B">
      <w:pPr>
        <w:pStyle w:val="Akapitzlist"/>
        <w:ind w:hanging="360"/>
        <w:rPr>
          <w:color w:val="002060"/>
          <w:lang w:eastAsia="pl-PL"/>
        </w:rPr>
      </w:pPr>
      <w:r>
        <w:rPr>
          <w:color w:val="002060"/>
          <w:lang w:eastAsia="pl-PL"/>
        </w:rPr>
        <w:t>1)</w:t>
      </w:r>
      <w:r>
        <w:rPr>
          <w:rFonts w:ascii="Times New Roman" w:hAnsi="Times New Roman" w:cs="Times New Roman"/>
          <w:color w:val="002060"/>
          <w:lang w:eastAsia="pl-PL"/>
        </w:rPr>
        <w:t xml:space="preserve">      </w:t>
      </w:r>
      <w:r>
        <w:rPr>
          <w:color w:val="002060"/>
          <w:lang w:eastAsia="pl-PL"/>
        </w:rPr>
        <w:t>Wnios</w:t>
      </w:r>
      <w:r>
        <w:rPr>
          <w:color w:val="1F497D"/>
          <w:lang w:eastAsia="pl-PL"/>
        </w:rPr>
        <w:t>ek</w:t>
      </w:r>
      <w:r>
        <w:rPr>
          <w:color w:val="002060"/>
          <w:lang w:eastAsia="pl-PL"/>
        </w:rPr>
        <w:t xml:space="preserve"> o świadczenie 300+ będzie</w:t>
      </w:r>
      <w:r>
        <w:rPr>
          <w:color w:val="1F497D"/>
          <w:lang w:eastAsia="pl-PL"/>
        </w:rPr>
        <w:t>sz</w:t>
      </w:r>
      <w:r>
        <w:rPr>
          <w:color w:val="002060"/>
          <w:lang w:eastAsia="pl-PL"/>
        </w:rPr>
        <w:t xml:space="preserve"> </w:t>
      </w:r>
      <w:r>
        <w:rPr>
          <w:color w:val="1F497D"/>
          <w:lang w:eastAsia="pl-PL"/>
        </w:rPr>
        <w:t>mógł</w:t>
      </w:r>
      <w:r>
        <w:rPr>
          <w:color w:val="002060"/>
          <w:lang w:eastAsia="pl-PL"/>
        </w:rPr>
        <w:t xml:space="preserve"> złożyć </w:t>
      </w:r>
      <w:r>
        <w:rPr>
          <w:b/>
          <w:bCs/>
          <w:color w:val="002060"/>
          <w:lang w:eastAsia="pl-PL"/>
        </w:rPr>
        <w:t>wyłącznie drogą elektroniczną</w:t>
      </w:r>
      <w:r>
        <w:rPr>
          <w:color w:val="002060"/>
          <w:lang w:eastAsia="pl-PL"/>
        </w:rPr>
        <w:t>, za pośrednictwem:</w:t>
      </w:r>
    </w:p>
    <w:p w:rsidR="00F47A9B" w:rsidRDefault="00F47A9B" w:rsidP="00F47A9B">
      <w:pPr>
        <w:rPr>
          <w:color w:val="002060"/>
          <w:lang w:eastAsia="pl-PL"/>
        </w:rPr>
      </w:pPr>
    </w:p>
    <w:p w:rsidR="00F47A9B" w:rsidRDefault="00F47A9B" w:rsidP="00F47A9B">
      <w:pPr>
        <w:pStyle w:val="Akapitzlist"/>
        <w:ind w:hanging="360"/>
        <w:jc w:val="both"/>
        <w:rPr>
          <w:color w:val="002060"/>
          <w:lang w:eastAsia="pl-PL"/>
        </w:rPr>
      </w:pPr>
      <w:r>
        <w:rPr>
          <w:rFonts w:ascii="Symbol" w:hAnsi="Symbol"/>
          <w:color w:val="002060"/>
          <w:lang w:eastAsia="pl-PL"/>
        </w:rPr>
        <w:t></w:t>
      </w:r>
      <w:r>
        <w:rPr>
          <w:rFonts w:ascii="Times New Roman" w:hAnsi="Times New Roman" w:cs="Times New Roman"/>
          <w:color w:val="002060"/>
          <w:lang w:eastAsia="pl-PL"/>
        </w:rPr>
        <w:t xml:space="preserve">         </w:t>
      </w:r>
      <w:r>
        <w:rPr>
          <w:color w:val="002060"/>
          <w:lang w:eastAsia="pl-PL"/>
        </w:rPr>
        <w:t>Platformy Usług Elektronicznych (PUE) ZUS,</w:t>
      </w:r>
    </w:p>
    <w:p w:rsidR="00F47A9B" w:rsidRDefault="00F47A9B" w:rsidP="00F47A9B">
      <w:pPr>
        <w:jc w:val="both"/>
        <w:rPr>
          <w:color w:val="002060"/>
        </w:rPr>
      </w:pPr>
    </w:p>
    <w:p w:rsidR="00F47A9B" w:rsidRDefault="00F47A9B" w:rsidP="00F47A9B">
      <w:pPr>
        <w:pStyle w:val="Akapitzlist"/>
        <w:ind w:hanging="360"/>
        <w:jc w:val="both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 w:cs="Times New Roman"/>
          <w:color w:val="002060"/>
        </w:rPr>
        <w:t xml:space="preserve">         </w:t>
      </w:r>
      <w:r>
        <w:rPr>
          <w:color w:val="002060"/>
        </w:rPr>
        <w:t>bankowoś</w:t>
      </w:r>
      <w:r>
        <w:rPr>
          <w:color w:val="1F497D"/>
        </w:rPr>
        <w:t>ci</w:t>
      </w:r>
      <w:r>
        <w:rPr>
          <w:color w:val="002060"/>
        </w:rPr>
        <w:t xml:space="preserve"> elektroniczn</w:t>
      </w:r>
      <w:r>
        <w:rPr>
          <w:color w:val="1F497D"/>
        </w:rPr>
        <w:t>ej</w:t>
      </w:r>
      <w:r>
        <w:rPr>
          <w:color w:val="002060"/>
        </w:rPr>
        <w:t xml:space="preserve">   (15 banków),</w:t>
      </w:r>
    </w:p>
    <w:p w:rsidR="00F47A9B" w:rsidRDefault="00F47A9B" w:rsidP="00F47A9B">
      <w:pPr>
        <w:pStyle w:val="Akapitzlist"/>
        <w:jc w:val="both"/>
        <w:rPr>
          <w:color w:val="002060"/>
        </w:rPr>
      </w:pPr>
    </w:p>
    <w:p w:rsidR="00F47A9B" w:rsidRDefault="00F47A9B" w:rsidP="00F47A9B">
      <w:pPr>
        <w:pStyle w:val="Akapitzlist"/>
        <w:ind w:hanging="360"/>
        <w:jc w:val="both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 w:cs="Times New Roman"/>
          <w:color w:val="002060"/>
        </w:rPr>
        <w:t xml:space="preserve">         </w:t>
      </w:r>
      <w:r>
        <w:rPr>
          <w:color w:val="002060"/>
        </w:rPr>
        <w:t>portal</w:t>
      </w:r>
      <w:r>
        <w:rPr>
          <w:color w:val="1F497D"/>
        </w:rPr>
        <w:t>u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emp@tia</w:t>
      </w:r>
      <w:proofErr w:type="spellEnd"/>
      <w:r>
        <w:rPr>
          <w:color w:val="002060"/>
        </w:rPr>
        <w:t>,</w:t>
      </w:r>
    </w:p>
    <w:p w:rsidR="00F47A9B" w:rsidRDefault="00F47A9B" w:rsidP="00F47A9B">
      <w:pPr>
        <w:pStyle w:val="Akapitzlist"/>
        <w:rPr>
          <w:color w:val="002060"/>
        </w:rPr>
      </w:pPr>
    </w:p>
    <w:p w:rsidR="00F47A9B" w:rsidRDefault="00F47A9B" w:rsidP="00F47A9B">
      <w:pPr>
        <w:pStyle w:val="Akapitzlist"/>
        <w:ind w:hanging="360"/>
        <w:rPr>
          <w:color w:val="002060"/>
        </w:rPr>
      </w:pPr>
      <w:r>
        <w:rPr>
          <w:color w:val="002060"/>
        </w:rPr>
        <w:t>2)</w:t>
      </w:r>
      <w:r>
        <w:rPr>
          <w:rFonts w:ascii="Times New Roman" w:hAnsi="Times New Roman" w:cs="Times New Roman"/>
          <w:color w:val="002060"/>
        </w:rPr>
        <w:t xml:space="preserve">      </w:t>
      </w:r>
      <w:r>
        <w:rPr>
          <w:color w:val="1F497D"/>
        </w:rPr>
        <w:t>Ś</w:t>
      </w:r>
      <w:r>
        <w:rPr>
          <w:color w:val="002060"/>
        </w:rPr>
        <w:t>wiadczeni</w:t>
      </w:r>
      <w:r>
        <w:rPr>
          <w:color w:val="1F497D"/>
        </w:rPr>
        <w:t xml:space="preserve">e otrzymasz </w:t>
      </w:r>
      <w:r>
        <w:rPr>
          <w:b/>
          <w:bCs/>
          <w:color w:val="17375E"/>
        </w:rPr>
        <w:t>wyłącznie</w:t>
      </w:r>
      <w:r>
        <w:rPr>
          <w:b/>
          <w:bCs/>
          <w:color w:val="002060"/>
        </w:rPr>
        <w:t xml:space="preserve"> na rachunek bankowy</w:t>
      </w:r>
      <w:r>
        <w:rPr>
          <w:color w:val="002060"/>
        </w:rPr>
        <w:t>,</w:t>
      </w:r>
    </w:p>
    <w:p w:rsidR="00F47A9B" w:rsidRDefault="00F47A9B" w:rsidP="00F47A9B">
      <w:pPr>
        <w:pStyle w:val="Akapitzlist"/>
        <w:rPr>
          <w:color w:val="002060"/>
        </w:rPr>
      </w:pPr>
    </w:p>
    <w:p w:rsidR="00F47A9B" w:rsidRDefault="00F47A9B" w:rsidP="00F47A9B">
      <w:pPr>
        <w:pStyle w:val="Akapitzlist"/>
        <w:ind w:hanging="360"/>
        <w:rPr>
          <w:color w:val="002060"/>
        </w:rPr>
      </w:pPr>
      <w:r>
        <w:rPr>
          <w:color w:val="002060"/>
        </w:rPr>
        <w:t>3)</w:t>
      </w:r>
      <w:r>
        <w:rPr>
          <w:rFonts w:ascii="Times New Roman" w:hAnsi="Times New Roman" w:cs="Times New Roman"/>
          <w:color w:val="002060"/>
        </w:rPr>
        <w:t xml:space="preserve">      </w:t>
      </w:r>
      <w:r>
        <w:rPr>
          <w:color w:val="002060"/>
        </w:rPr>
        <w:t xml:space="preserve">Obsługę świadczenia </w:t>
      </w:r>
      <w:r>
        <w:rPr>
          <w:b/>
          <w:bCs/>
          <w:color w:val="002060"/>
        </w:rPr>
        <w:t>przejmuje Zakład Ubezpieczeń Społecznych</w:t>
      </w:r>
      <w:r>
        <w:rPr>
          <w:color w:val="002060"/>
        </w:rPr>
        <w:t>.</w:t>
      </w:r>
    </w:p>
    <w:p w:rsidR="00F47A9B" w:rsidRDefault="00F47A9B" w:rsidP="00F47A9B">
      <w:pPr>
        <w:pStyle w:val="Akapitzlist"/>
        <w:ind w:left="0"/>
        <w:rPr>
          <w:color w:val="1F497D"/>
        </w:rPr>
      </w:pPr>
    </w:p>
    <w:p w:rsidR="00F47A9B" w:rsidRDefault="00F47A9B" w:rsidP="00F47A9B">
      <w:pPr>
        <w:rPr>
          <w:color w:val="003D6E"/>
        </w:rPr>
      </w:pPr>
      <w:r>
        <w:rPr>
          <w:color w:val="003D6E"/>
        </w:rPr>
        <w:t>Więcej informacji na temat świadczenia 300+ znajd</w:t>
      </w:r>
      <w:r>
        <w:rPr>
          <w:color w:val="1F497D"/>
        </w:rPr>
        <w:t>ą</w:t>
      </w:r>
      <w:r>
        <w:rPr>
          <w:color w:val="003D6E"/>
        </w:rPr>
        <w:t xml:space="preserve"> Państwo pod linkiem – </w:t>
      </w:r>
      <w:hyperlink r:id="rId7" w:history="1">
        <w:r>
          <w:rPr>
            <w:rStyle w:val="Hipercze"/>
          </w:rPr>
          <w:t>https://www.zus.pl/baza-wiedzy/program-dobry-start</w:t>
        </w:r>
      </w:hyperlink>
    </w:p>
    <w:p w:rsidR="00F47A9B" w:rsidRDefault="00F47A9B" w:rsidP="00F47A9B">
      <w:pPr>
        <w:rPr>
          <w:color w:val="1F497D"/>
        </w:rPr>
      </w:pPr>
    </w:p>
    <w:p w:rsidR="001E3A6F" w:rsidRDefault="001E3A6F">
      <w:bookmarkStart w:id="0" w:name="_GoBack"/>
      <w:bookmarkEnd w:id="0"/>
    </w:p>
    <w:sectPr w:rsidR="001E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9B"/>
    <w:rsid w:val="001E3A6F"/>
    <w:rsid w:val="00F4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A9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7A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7A9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A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A9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7A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7A9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A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us.pl/baza-wiedzy/program-dobry-sta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76C2F.A974DD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Woźnica, Marta</dc:creator>
  <cp:lastModifiedBy>Woźnica, Marta</cp:lastModifiedBy>
  <cp:revision>1</cp:revision>
  <dcterms:created xsi:type="dcterms:W3CDTF">2021-07-06T09:57:00Z</dcterms:created>
  <dcterms:modified xsi:type="dcterms:W3CDTF">2021-07-06T09:58:00Z</dcterms:modified>
</cp:coreProperties>
</file>